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098" w14:textId="77777777" w:rsidR="00D521F7" w:rsidRPr="00855A36" w:rsidRDefault="00D521F7" w:rsidP="00D521F7">
      <w:pPr>
        <w:rPr>
          <w:rFonts w:ascii="Aptos" w:hAnsi="Aptos"/>
          <w:sz w:val="32"/>
          <w:szCs w:val="32"/>
          <w:lang w:val="fr-FR"/>
        </w:rPr>
      </w:pPr>
      <w:r w:rsidRPr="00855A36">
        <w:rPr>
          <w:rFonts w:ascii="Aptos" w:hAnsi="Aptos"/>
          <w:sz w:val="32"/>
          <w:szCs w:val="32"/>
          <w:lang w:val="fr-FR"/>
        </w:rPr>
        <w:t>L'énergie de TBWA est du côté d'ENGIE</w:t>
      </w:r>
    </w:p>
    <w:p w14:paraId="045E0644" w14:textId="77777777" w:rsidR="00D521F7" w:rsidRPr="00855A36" w:rsidRDefault="00D521F7" w:rsidP="00D521F7">
      <w:pPr>
        <w:pStyle w:val="paragraph"/>
        <w:spacing w:before="0" w:beforeAutospacing="0" w:after="0" w:afterAutospacing="0"/>
        <w:textAlignment w:val="baseline"/>
        <w:rPr>
          <w:rFonts w:ascii="Aptos" w:hAnsi="Aptos" w:cs="Segoe UI"/>
          <w:lang w:val="fr-BE"/>
        </w:rPr>
      </w:pPr>
      <w:r w:rsidRPr="00855A36">
        <w:rPr>
          <w:rStyle w:val="eop"/>
          <w:rFonts w:ascii="Aptos" w:eastAsiaTheme="majorEastAsia" w:hAnsi="Aptos" w:cs="Segoe UI"/>
          <w:lang w:val="fr-BE"/>
        </w:rPr>
        <w:t> </w:t>
      </w:r>
    </w:p>
    <w:p w14:paraId="26231986" w14:textId="77777777" w:rsidR="00D521F7" w:rsidRPr="00855A36" w:rsidRDefault="00D521F7" w:rsidP="00D521F7">
      <w:pPr>
        <w:rPr>
          <w:rFonts w:ascii="Aptos" w:hAnsi="Aptos"/>
          <w:sz w:val="18"/>
          <w:szCs w:val="18"/>
          <w:lang w:val="fr-FR"/>
        </w:rPr>
      </w:pPr>
      <w:r w:rsidRPr="1A6F0AEF">
        <w:rPr>
          <w:rFonts w:ascii="Aptos" w:hAnsi="Aptos"/>
          <w:sz w:val="18"/>
          <w:szCs w:val="18"/>
          <w:lang w:val="fr-FR"/>
        </w:rPr>
        <w:t>ENGIE lance sa nouvelle stratégie pour la Belgique : #Energize2030. Et accompagne ce lancement d'une campagne de communication vers différents groupes cibles. Après une campagne presse et digitale focalisée sur les leaders d'opinion, TBWA a conçu une campagne d'image pour le grand public.</w:t>
      </w:r>
    </w:p>
    <w:p w14:paraId="2B96F3B6" w14:textId="77777777" w:rsidR="00D521F7" w:rsidRPr="00855A36" w:rsidRDefault="00D521F7" w:rsidP="00D521F7">
      <w:pPr>
        <w:rPr>
          <w:rFonts w:ascii="Aptos" w:hAnsi="Aptos"/>
          <w:sz w:val="18"/>
          <w:szCs w:val="18"/>
          <w:lang w:val="fr-FR"/>
        </w:rPr>
      </w:pPr>
    </w:p>
    <w:p w14:paraId="59105246" w14:textId="77777777" w:rsidR="00D521F7" w:rsidRPr="00855A36" w:rsidRDefault="00D521F7" w:rsidP="00D521F7">
      <w:pPr>
        <w:rPr>
          <w:rFonts w:ascii="Aptos" w:hAnsi="Aptos"/>
          <w:sz w:val="18"/>
          <w:szCs w:val="18"/>
          <w:lang w:val="fr-FR"/>
        </w:rPr>
      </w:pPr>
      <w:r w:rsidRPr="1A6F0AEF">
        <w:rPr>
          <w:rFonts w:ascii="Aptos" w:hAnsi="Aptos"/>
          <w:sz w:val="18"/>
          <w:szCs w:val="18"/>
          <w:lang w:val="fr-FR"/>
        </w:rPr>
        <w:t xml:space="preserve">Parmi les priorités de la stratégie : le renouvelable, la flexibilité et les clients. TBWA a traduit ces ambitions en une campagne forte autour de plusieurs thèmes : l'énergie éolienne, l'énergie solaire et les outils et services innovants pour aider les clients à garder sous contrôle leur consommation d'énergie. </w:t>
      </w:r>
    </w:p>
    <w:p w14:paraId="62313A5E" w14:textId="77777777" w:rsidR="00D521F7" w:rsidRPr="00855A36" w:rsidRDefault="00D521F7" w:rsidP="00D521F7">
      <w:pPr>
        <w:rPr>
          <w:rFonts w:ascii="Aptos" w:hAnsi="Aptos"/>
          <w:sz w:val="18"/>
          <w:szCs w:val="18"/>
          <w:lang w:val="fr-FR"/>
        </w:rPr>
      </w:pPr>
      <w:r w:rsidRPr="1A6F0AEF">
        <w:rPr>
          <w:rFonts w:ascii="Aptos" w:hAnsi="Aptos" w:cs="Cambria"/>
          <w:sz w:val="18"/>
          <w:szCs w:val="18"/>
          <w:lang w:val="fr-FR"/>
        </w:rPr>
        <w:t> </w:t>
      </w:r>
    </w:p>
    <w:p w14:paraId="15991A6B" w14:textId="77777777" w:rsidR="00D521F7" w:rsidRPr="00855A36" w:rsidRDefault="00D521F7" w:rsidP="00D521F7">
      <w:pPr>
        <w:rPr>
          <w:rFonts w:ascii="Aptos" w:hAnsi="Aptos"/>
          <w:b/>
          <w:bCs/>
          <w:sz w:val="18"/>
          <w:szCs w:val="18"/>
          <w:lang w:val="fr-FR"/>
        </w:rPr>
      </w:pPr>
      <w:r w:rsidRPr="1A6F0AEF">
        <w:rPr>
          <w:rFonts w:ascii="Aptos" w:hAnsi="Aptos"/>
          <w:b/>
          <w:bCs/>
          <w:sz w:val="18"/>
          <w:szCs w:val="18"/>
          <w:lang w:val="fr-FR"/>
        </w:rPr>
        <w:t>"ENGIE. Notre énergie sera toujours de votre côté."</w:t>
      </w:r>
    </w:p>
    <w:p w14:paraId="2D972E6C" w14:textId="77777777" w:rsidR="00D521F7" w:rsidRPr="00855A36" w:rsidRDefault="00D521F7" w:rsidP="00D521F7">
      <w:pPr>
        <w:rPr>
          <w:rFonts w:ascii="Aptos" w:hAnsi="Aptos"/>
          <w:sz w:val="18"/>
          <w:szCs w:val="18"/>
          <w:lang w:val="fr-FR"/>
        </w:rPr>
      </w:pPr>
      <w:r w:rsidRPr="1A6F0AEF">
        <w:rPr>
          <w:rFonts w:ascii="Aptos" w:hAnsi="Aptos"/>
          <w:sz w:val="18"/>
          <w:szCs w:val="18"/>
          <w:lang w:val="fr-FR"/>
        </w:rPr>
        <w:t xml:space="preserve">L'angle choisi est celui de la tranquillité d'esprit, que seul un leader du secteur peut offrir. ENGIE capitalise ainsi sur sa forte réputation sur le marché belge. En collaboration avec TBWA et le réalisateur </w:t>
      </w:r>
      <w:proofErr w:type="spellStart"/>
      <w:r w:rsidRPr="1A6F0AEF">
        <w:rPr>
          <w:rFonts w:ascii="Aptos" w:hAnsi="Aptos"/>
          <w:sz w:val="18"/>
          <w:szCs w:val="18"/>
          <w:lang w:val="fr-FR"/>
        </w:rPr>
        <w:t>Shueti</w:t>
      </w:r>
      <w:proofErr w:type="spellEnd"/>
      <w:r w:rsidRPr="1A6F0AEF">
        <w:rPr>
          <w:rFonts w:ascii="Aptos" w:hAnsi="Aptos"/>
          <w:sz w:val="18"/>
          <w:szCs w:val="18"/>
          <w:lang w:val="fr-FR"/>
        </w:rPr>
        <w:t xml:space="preserve"> (</w:t>
      </w:r>
      <w:proofErr w:type="spellStart"/>
      <w:r w:rsidRPr="1A6F0AEF">
        <w:rPr>
          <w:rFonts w:ascii="Aptos" w:hAnsi="Aptos"/>
          <w:sz w:val="18"/>
          <w:szCs w:val="18"/>
          <w:lang w:val="fr-FR"/>
        </w:rPr>
        <w:t>Wenneker</w:t>
      </w:r>
      <w:proofErr w:type="spellEnd"/>
      <w:r w:rsidRPr="1A6F0AEF">
        <w:rPr>
          <w:rFonts w:ascii="Aptos" w:hAnsi="Aptos"/>
          <w:sz w:val="18"/>
          <w:szCs w:val="18"/>
          <w:lang w:val="fr-FR"/>
        </w:rPr>
        <w:t>), ENGIE a créé plusieurs spots TV qui vous emmènent, en un mouvement fluide, au travers du flux d'énergie source de véritables petits moments de bonheur.</w:t>
      </w:r>
      <w:r w:rsidRPr="1A6F0AEF">
        <w:rPr>
          <w:rFonts w:ascii="Aptos" w:hAnsi="Aptos" w:cs="Cambria"/>
          <w:sz w:val="18"/>
          <w:szCs w:val="18"/>
          <w:lang w:val="fr-FR"/>
        </w:rPr>
        <w:t> </w:t>
      </w:r>
    </w:p>
    <w:p w14:paraId="1BDCBDE1" w14:textId="77777777" w:rsidR="00D521F7" w:rsidRPr="00855A36" w:rsidRDefault="00D521F7" w:rsidP="00D521F7">
      <w:pPr>
        <w:rPr>
          <w:rFonts w:ascii="Aptos" w:hAnsi="Aptos"/>
          <w:sz w:val="18"/>
          <w:szCs w:val="18"/>
          <w:lang w:val="fr-FR"/>
        </w:rPr>
      </w:pPr>
      <w:r w:rsidRPr="1A6F0AEF">
        <w:rPr>
          <w:rFonts w:ascii="Aptos" w:hAnsi="Aptos" w:cs="Cambria"/>
          <w:sz w:val="18"/>
          <w:szCs w:val="18"/>
          <w:lang w:val="fr-FR"/>
        </w:rPr>
        <w:t> </w:t>
      </w:r>
    </w:p>
    <w:p w14:paraId="7E6D0FA4" w14:textId="77777777" w:rsidR="00D521F7" w:rsidRPr="00855A36" w:rsidRDefault="00D521F7" w:rsidP="00D521F7">
      <w:pPr>
        <w:rPr>
          <w:rFonts w:ascii="Aptos" w:hAnsi="Aptos"/>
          <w:sz w:val="18"/>
          <w:szCs w:val="18"/>
          <w:lang w:val="fr-FR"/>
        </w:rPr>
      </w:pPr>
      <w:r w:rsidRPr="1A6F0AEF">
        <w:rPr>
          <w:rFonts w:ascii="Aptos" w:hAnsi="Aptos"/>
          <w:sz w:val="18"/>
          <w:szCs w:val="18"/>
          <w:lang w:val="fr-FR"/>
        </w:rPr>
        <w:t>La force du vent qui sèche vos cheveux ? Elle provient aussi des éoliennes d'ENGIE. La lumière qui chasse les mauvais rêves des enfants ? Elle est aussi issue des panneaux solaires d'ENGIE. Ces parallèles visuels servent le concept, évidemment. L'énergie verte est et reste un mix d'énergie éolienne, solaire et hydroélectrique.</w:t>
      </w:r>
      <w:r w:rsidRPr="1A6F0AEF">
        <w:rPr>
          <w:rFonts w:ascii="Aptos" w:hAnsi="Aptos" w:cs="Cambria"/>
          <w:sz w:val="18"/>
          <w:szCs w:val="18"/>
          <w:lang w:val="fr-FR"/>
        </w:rPr>
        <w:t> </w:t>
      </w:r>
    </w:p>
    <w:p w14:paraId="38FDFB8B" w14:textId="77777777" w:rsidR="00D521F7" w:rsidRPr="00855A36" w:rsidRDefault="00D521F7" w:rsidP="00D521F7">
      <w:pPr>
        <w:rPr>
          <w:rFonts w:ascii="Aptos" w:hAnsi="Aptos" w:cs="Cambria"/>
          <w:sz w:val="18"/>
          <w:szCs w:val="18"/>
          <w:lang w:val="fr-FR"/>
        </w:rPr>
      </w:pPr>
      <w:r w:rsidRPr="1A6F0AEF">
        <w:rPr>
          <w:rFonts w:ascii="Aptos" w:hAnsi="Aptos" w:cs="Cambria"/>
          <w:sz w:val="18"/>
          <w:szCs w:val="18"/>
          <w:lang w:val="fr-FR"/>
        </w:rPr>
        <w:t> </w:t>
      </w:r>
    </w:p>
    <w:p w14:paraId="02A7CBCE" w14:textId="77777777" w:rsidR="00D521F7" w:rsidRPr="00855A36" w:rsidRDefault="00D521F7" w:rsidP="00D521F7">
      <w:pPr>
        <w:rPr>
          <w:rFonts w:ascii="Aptos" w:hAnsi="Aptos"/>
          <w:sz w:val="18"/>
          <w:szCs w:val="18"/>
          <w:lang w:val="fr-FR"/>
        </w:rPr>
      </w:pPr>
      <w:r w:rsidRPr="1A6F0AEF">
        <w:rPr>
          <w:rFonts w:ascii="Aptos" w:hAnsi="Aptos"/>
          <w:sz w:val="18"/>
          <w:szCs w:val="18"/>
          <w:lang w:val="fr-FR"/>
        </w:rPr>
        <w:t>Outre ces spots qui abordent le thème de l'énergie verte, deux autres mettent en avant les outils pratiques d'ENGIE. Le pack Drive d'ENGIE vous permet de recharger automatiquement votre voiture à un tarif avantageux chez vous. Quant à la Smart app, elle vous aide à garder le contrôle sur votre consommation d'énergie et votre facture. Cette facilité à économiser est source d'une grande tranquillité d'esprit.</w:t>
      </w:r>
    </w:p>
    <w:p w14:paraId="7A425C2C" w14:textId="77777777" w:rsidR="00D521F7" w:rsidRPr="00855A36" w:rsidRDefault="00D521F7" w:rsidP="00D521F7">
      <w:pPr>
        <w:rPr>
          <w:rFonts w:ascii="Aptos" w:hAnsi="Aptos"/>
          <w:sz w:val="18"/>
          <w:szCs w:val="18"/>
          <w:lang w:val="fr-FR"/>
        </w:rPr>
      </w:pPr>
      <w:r w:rsidRPr="1A6F0AEF">
        <w:rPr>
          <w:rFonts w:ascii="Aptos" w:hAnsi="Aptos" w:cs="Cambria"/>
          <w:sz w:val="18"/>
          <w:szCs w:val="18"/>
          <w:lang w:val="fr-FR"/>
        </w:rPr>
        <w:t> </w:t>
      </w:r>
    </w:p>
    <w:p w14:paraId="5ED708FC" w14:textId="77777777" w:rsidR="00D521F7" w:rsidRPr="00D64107" w:rsidRDefault="00D521F7" w:rsidP="00D521F7">
      <w:pPr>
        <w:rPr>
          <w:rFonts w:ascii="Aptos" w:hAnsi="Aptos"/>
          <w:sz w:val="18"/>
          <w:szCs w:val="18"/>
          <w:lang w:val="fr-FR"/>
        </w:rPr>
      </w:pPr>
      <w:r w:rsidRPr="1A6F0AEF">
        <w:rPr>
          <w:rFonts w:ascii="Aptos" w:hAnsi="Aptos"/>
          <w:sz w:val="18"/>
          <w:szCs w:val="18"/>
          <w:lang w:val="fr-FR"/>
        </w:rPr>
        <w:t>La campagne est présente en télé, en OOH et sur les médias numériques.</w:t>
      </w:r>
      <w:r w:rsidRPr="1A6F0AEF">
        <w:rPr>
          <w:rFonts w:ascii="Aptos" w:hAnsi="Aptos" w:cs="Cambria"/>
          <w:sz w:val="18"/>
          <w:szCs w:val="18"/>
          <w:lang w:val="fr-FR"/>
        </w:rPr>
        <w:t> </w:t>
      </w:r>
    </w:p>
    <w:p w14:paraId="1171431E" w14:textId="7CA03FDE" w:rsidR="009E630E" w:rsidRPr="00BD0576" w:rsidRDefault="009E630E">
      <w:pPr>
        <w:rPr>
          <w:rFonts w:ascii="Averta for TBWA" w:hAnsi="Averta for TBWA"/>
          <w:sz w:val="18"/>
          <w:szCs w:val="18"/>
        </w:rPr>
      </w:pPr>
    </w:p>
    <w:sectPr w:rsidR="009E630E" w:rsidRPr="00BD0576" w:rsidSect="00D52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rta for TBWA">
    <w:altName w:val="Calibri"/>
    <w:panose1 w:val="01000000000000000000"/>
    <w:charset w:val="4D"/>
    <w:family w:val="auto"/>
    <w:pitch w:val="variable"/>
    <w:sig w:usb0="A00000EF" w:usb1="0000E021" w:usb2="00000000" w:usb3="00000000" w:csb0="000001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0E"/>
    <w:rsid w:val="00077D08"/>
    <w:rsid w:val="000B2E2E"/>
    <w:rsid w:val="000F2CE0"/>
    <w:rsid w:val="00245017"/>
    <w:rsid w:val="00262035"/>
    <w:rsid w:val="0035112F"/>
    <w:rsid w:val="004E0660"/>
    <w:rsid w:val="004F5B65"/>
    <w:rsid w:val="005D1F22"/>
    <w:rsid w:val="006300C5"/>
    <w:rsid w:val="00664476"/>
    <w:rsid w:val="006F07B5"/>
    <w:rsid w:val="006F229C"/>
    <w:rsid w:val="00715FB8"/>
    <w:rsid w:val="00825711"/>
    <w:rsid w:val="00860CF4"/>
    <w:rsid w:val="00966A5A"/>
    <w:rsid w:val="009D772E"/>
    <w:rsid w:val="009E630E"/>
    <w:rsid w:val="00BD0576"/>
    <w:rsid w:val="00BF4496"/>
    <w:rsid w:val="00BF5FD4"/>
    <w:rsid w:val="00C21511"/>
    <w:rsid w:val="00D31B70"/>
    <w:rsid w:val="00D521F7"/>
    <w:rsid w:val="00D557D4"/>
    <w:rsid w:val="00D74DF8"/>
    <w:rsid w:val="00D8382A"/>
    <w:rsid w:val="00DB444B"/>
    <w:rsid w:val="00F13D76"/>
    <w:rsid w:val="00F47324"/>
    <w:rsid w:val="00FC3CD2"/>
    <w:rsid w:val="00FC66D4"/>
    <w:rsid w:val="0E6E68E4"/>
    <w:rsid w:val="17EB9787"/>
    <w:rsid w:val="305164F5"/>
    <w:rsid w:val="31BFBFC8"/>
    <w:rsid w:val="41330CE5"/>
    <w:rsid w:val="498447D4"/>
    <w:rsid w:val="4C5BEDC7"/>
    <w:rsid w:val="584AFBB8"/>
    <w:rsid w:val="5C0A239E"/>
    <w:rsid w:val="738D10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77C"/>
  <w15:chartTrackingRefBased/>
  <w15:docId w15:val="{40F78394-6BC1-1947-8BD8-629EC223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1F7"/>
  </w:style>
  <w:style w:type="paragraph" w:styleId="Heading1">
    <w:name w:val="heading 1"/>
    <w:basedOn w:val="Normal"/>
    <w:next w:val="Normal"/>
    <w:link w:val="Heading1Char"/>
    <w:uiPriority w:val="9"/>
    <w:qFormat/>
    <w:rsid w:val="009E6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3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3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3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3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30E"/>
    <w:rPr>
      <w:rFonts w:eastAsiaTheme="majorEastAsia" w:cstheme="majorBidi"/>
      <w:color w:val="272727" w:themeColor="text1" w:themeTint="D8"/>
    </w:rPr>
  </w:style>
  <w:style w:type="paragraph" w:styleId="Title">
    <w:name w:val="Title"/>
    <w:basedOn w:val="Normal"/>
    <w:next w:val="Normal"/>
    <w:link w:val="TitleChar"/>
    <w:uiPriority w:val="10"/>
    <w:qFormat/>
    <w:rsid w:val="009E63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3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3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30E"/>
    <w:rPr>
      <w:i/>
      <w:iCs/>
      <w:color w:val="404040" w:themeColor="text1" w:themeTint="BF"/>
    </w:rPr>
  </w:style>
  <w:style w:type="paragraph" w:styleId="ListParagraph">
    <w:name w:val="List Paragraph"/>
    <w:basedOn w:val="Normal"/>
    <w:uiPriority w:val="34"/>
    <w:qFormat/>
    <w:rsid w:val="009E630E"/>
    <w:pPr>
      <w:ind w:left="720"/>
      <w:contextualSpacing/>
    </w:pPr>
  </w:style>
  <w:style w:type="character" w:styleId="IntenseEmphasis">
    <w:name w:val="Intense Emphasis"/>
    <w:basedOn w:val="DefaultParagraphFont"/>
    <w:uiPriority w:val="21"/>
    <w:qFormat/>
    <w:rsid w:val="009E630E"/>
    <w:rPr>
      <w:i/>
      <w:iCs/>
      <w:color w:val="0F4761" w:themeColor="accent1" w:themeShade="BF"/>
    </w:rPr>
  </w:style>
  <w:style w:type="paragraph" w:styleId="IntenseQuote">
    <w:name w:val="Intense Quote"/>
    <w:basedOn w:val="Normal"/>
    <w:next w:val="Normal"/>
    <w:link w:val="IntenseQuoteChar"/>
    <w:uiPriority w:val="30"/>
    <w:qFormat/>
    <w:rsid w:val="009E6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30E"/>
    <w:rPr>
      <w:i/>
      <w:iCs/>
      <w:color w:val="0F4761" w:themeColor="accent1" w:themeShade="BF"/>
    </w:rPr>
  </w:style>
  <w:style w:type="character" w:styleId="IntenseReference">
    <w:name w:val="Intense Reference"/>
    <w:basedOn w:val="DefaultParagraphFont"/>
    <w:uiPriority w:val="32"/>
    <w:qFormat/>
    <w:rsid w:val="009E630E"/>
    <w:rPr>
      <w:b/>
      <w:bCs/>
      <w:smallCaps/>
      <w:color w:val="0F4761" w:themeColor="accent1" w:themeShade="BF"/>
      <w:spacing w:val="5"/>
    </w:rPr>
  </w:style>
  <w:style w:type="paragraph" w:styleId="Revision">
    <w:name w:val="Revision"/>
    <w:hidden/>
    <w:uiPriority w:val="99"/>
    <w:semiHidden/>
    <w:rsid w:val="00DB444B"/>
  </w:style>
  <w:style w:type="character" w:styleId="CommentReference">
    <w:name w:val="annotation reference"/>
    <w:basedOn w:val="DefaultParagraphFont"/>
    <w:uiPriority w:val="99"/>
    <w:semiHidden/>
    <w:unhideWhenUsed/>
    <w:rsid w:val="006F229C"/>
    <w:rPr>
      <w:sz w:val="16"/>
      <w:szCs w:val="16"/>
    </w:rPr>
  </w:style>
  <w:style w:type="paragraph" w:styleId="CommentText">
    <w:name w:val="annotation text"/>
    <w:basedOn w:val="Normal"/>
    <w:link w:val="CommentTextChar"/>
    <w:uiPriority w:val="99"/>
    <w:unhideWhenUsed/>
    <w:rsid w:val="006F229C"/>
    <w:rPr>
      <w:sz w:val="20"/>
      <w:szCs w:val="20"/>
    </w:rPr>
  </w:style>
  <w:style w:type="character" w:customStyle="1" w:styleId="CommentTextChar">
    <w:name w:val="Comment Text Char"/>
    <w:basedOn w:val="DefaultParagraphFont"/>
    <w:link w:val="CommentText"/>
    <w:uiPriority w:val="99"/>
    <w:rsid w:val="006F229C"/>
    <w:rPr>
      <w:sz w:val="20"/>
      <w:szCs w:val="20"/>
    </w:rPr>
  </w:style>
  <w:style w:type="paragraph" w:styleId="CommentSubject">
    <w:name w:val="annotation subject"/>
    <w:basedOn w:val="CommentText"/>
    <w:next w:val="CommentText"/>
    <w:link w:val="CommentSubjectChar"/>
    <w:uiPriority w:val="99"/>
    <w:semiHidden/>
    <w:unhideWhenUsed/>
    <w:rsid w:val="006F229C"/>
    <w:rPr>
      <w:b/>
      <w:bCs/>
    </w:rPr>
  </w:style>
  <w:style w:type="character" w:customStyle="1" w:styleId="CommentSubjectChar">
    <w:name w:val="Comment Subject Char"/>
    <w:basedOn w:val="CommentTextChar"/>
    <w:link w:val="CommentSubject"/>
    <w:uiPriority w:val="99"/>
    <w:semiHidden/>
    <w:rsid w:val="006F229C"/>
    <w:rPr>
      <w:b/>
      <w:bCs/>
      <w:sz w:val="20"/>
      <w:szCs w:val="20"/>
    </w:rPr>
  </w:style>
  <w:style w:type="character" w:customStyle="1" w:styleId="cf01">
    <w:name w:val="cf01"/>
    <w:basedOn w:val="DefaultParagraphFont"/>
    <w:rsid w:val="00F47324"/>
    <w:rPr>
      <w:rFonts w:ascii="Segoe UI" w:hAnsi="Segoe UI" w:cs="Segoe UI" w:hint="default"/>
      <w:sz w:val="18"/>
      <w:szCs w:val="18"/>
    </w:rPr>
  </w:style>
  <w:style w:type="paragraph" w:customStyle="1" w:styleId="paragraph">
    <w:name w:val="paragraph"/>
    <w:basedOn w:val="Normal"/>
    <w:rsid w:val="00FC3CD2"/>
    <w:pPr>
      <w:spacing w:before="100" w:beforeAutospacing="1" w:after="100" w:afterAutospacing="1"/>
    </w:pPr>
    <w:rPr>
      <w:rFonts w:ascii="Times New Roman" w:eastAsia="Times New Roman" w:hAnsi="Times New Roman" w:cs="Times New Roman"/>
      <w:kern w:val="0"/>
      <w:lang w:val="en-BE" w:eastAsia="en-GB"/>
      <w14:ligatures w14:val="none"/>
    </w:rPr>
  </w:style>
  <w:style w:type="character" w:customStyle="1" w:styleId="normaltextrun">
    <w:name w:val="normaltextrun"/>
    <w:basedOn w:val="DefaultParagraphFont"/>
    <w:rsid w:val="00FC3CD2"/>
  </w:style>
  <w:style w:type="character" w:customStyle="1" w:styleId="eop">
    <w:name w:val="eop"/>
    <w:basedOn w:val="DefaultParagraphFont"/>
    <w:rsid w:val="00FC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79507">
      <w:bodyDiv w:val="1"/>
      <w:marLeft w:val="0"/>
      <w:marRight w:val="0"/>
      <w:marTop w:val="0"/>
      <w:marBottom w:val="0"/>
      <w:divBdr>
        <w:top w:val="none" w:sz="0" w:space="0" w:color="auto"/>
        <w:left w:val="none" w:sz="0" w:space="0" w:color="auto"/>
        <w:bottom w:val="none" w:sz="0" w:space="0" w:color="auto"/>
        <w:right w:val="none" w:sz="0" w:space="0" w:color="auto"/>
      </w:divBdr>
      <w:divsChild>
        <w:div w:id="143086254">
          <w:marLeft w:val="0"/>
          <w:marRight w:val="0"/>
          <w:marTop w:val="0"/>
          <w:marBottom w:val="0"/>
          <w:divBdr>
            <w:top w:val="none" w:sz="0" w:space="0" w:color="auto"/>
            <w:left w:val="none" w:sz="0" w:space="0" w:color="auto"/>
            <w:bottom w:val="none" w:sz="0" w:space="0" w:color="auto"/>
            <w:right w:val="none" w:sz="0" w:space="0" w:color="auto"/>
          </w:divBdr>
        </w:div>
        <w:div w:id="2108377729">
          <w:marLeft w:val="0"/>
          <w:marRight w:val="0"/>
          <w:marTop w:val="0"/>
          <w:marBottom w:val="0"/>
          <w:divBdr>
            <w:top w:val="none" w:sz="0" w:space="0" w:color="auto"/>
            <w:left w:val="none" w:sz="0" w:space="0" w:color="auto"/>
            <w:bottom w:val="none" w:sz="0" w:space="0" w:color="auto"/>
            <w:right w:val="none" w:sz="0" w:space="0" w:color="auto"/>
          </w:divBdr>
        </w:div>
        <w:div w:id="1284653014">
          <w:marLeft w:val="0"/>
          <w:marRight w:val="0"/>
          <w:marTop w:val="0"/>
          <w:marBottom w:val="0"/>
          <w:divBdr>
            <w:top w:val="none" w:sz="0" w:space="0" w:color="auto"/>
            <w:left w:val="none" w:sz="0" w:space="0" w:color="auto"/>
            <w:bottom w:val="none" w:sz="0" w:space="0" w:color="auto"/>
            <w:right w:val="none" w:sz="0" w:space="0" w:color="auto"/>
          </w:divBdr>
        </w:div>
        <w:div w:id="577832574">
          <w:marLeft w:val="0"/>
          <w:marRight w:val="0"/>
          <w:marTop w:val="0"/>
          <w:marBottom w:val="0"/>
          <w:divBdr>
            <w:top w:val="none" w:sz="0" w:space="0" w:color="auto"/>
            <w:left w:val="none" w:sz="0" w:space="0" w:color="auto"/>
            <w:bottom w:val="none" w:sz="0" w:space="0" w:color="auto"/>
            <w:right w:val="none" w:sz="0" w:space="0" w:color="auto"/>
          </w:divBdr>
        </w:div>
        <w:div w:id="341323547">
          <w:marLeft w:val="0"/>
          <w:marRight w:val="0"/>
          <w:marTop w:val="0"/>
          <w:marBottom w:val="0"/>
          <w:divBdr>
            <w:top w:val="none" w:sz="0" w:space="0" w:color="auto"/>
            <w:left w:val="none" w:sz="0" w:space="0" w:color="auto"/>
            <w:bottom w:val="none" w:sz="0" w:space="0" w:color="auto"/>
            <w:right w:val="none" w:sz="0" w:space="0" w:color="auto"/>
          </w:divBdr>
        </w:div>
        <w:div w:id="1145901148">
          <w:marLeft w:val="0"/>
          <w:marRight w:val="0"/>
          <w:marTop w:val="0"/>
          <w:marBottom w:val="0"/>
          <w:divBdr>
            <w:top w:val="none" w:sz="0" w:space="0" w:color="auto"/>
            <w:left w:val="none" w:sz="0" w:space="0" w:color="auto"/>
            <w:bottom w:val="none" w:sz="0" w:space="0" w:color="auto"/>
            <w:right w:val="none" w:sz="0" w:space="0" w:color="auto"/>
          </w:divBdr>
        </w:div>
        <w:div w:id="421995944">
          <w:marLeft w:val="0"/>
          <w:marRight w:val="0"/>
          <w:marTop w:val="0"/>
          <w:marBottom w:val="0"/>
          <w:divBdr>
            <w:top w:val="none" w:sz="0" w:space="0" w:color="auto"/>
            <w:left w:val="none" w:sz="0" w:space="0" w:color="auto"/>
            <w:bottom w:val="none" w:sz="0" w:space="0" w:color="auto"/>
            <w:right w:val="none" w:sz="0" w:space="0" w:color="auto"/>
          </w:divBdr>
        </w:div>
        <w:div w:id="571353078">
          <w:marLeft w:val="0"/>
          <w:marRight w:val="0"/>
          <w:marTop w:val="0"/>
          <w:marBottom w:val="0"/>
          <w:divBdr>
            <w:top w:val="none" w:sz="0" w:space="0" w:color="auto"/>
            <w:left w:val="none" w:sz="0" w:space="0" w:color="auto"/>
            <w:bottom w:val="none" w:sz="0" w:space="0" w:color="auto"/>
            <w:right w:val="none" w:sz="0" w:space="0" w:color="auto"/>
          </w:divBdr>
        </w:div>
        <w:div w:id="236019583">
          <w:marLeft w:val="0"/>
          <w:marRight w:val="0"/>
          <w:marTop w:val="0"/>
          <w:marBottom w:val="0"/>
          <w:divBdr>
            <w:top w:val="none" w:sz="0" w:space="0" w:color="auto"/>
            <w:left w:val="none" w:sz="0" w:space="0" w:color="auto"/>
            <w:bottom w:val="none" w:sz="0" w:space="0" w:color="auto"/>
            <w:right w:val="none" w:sz="0" w:space="0" w:color="auto"/>
          </w:divBdr>
        </w:div>
        <w:div w:id="873268048">
          <w:marLeft w:val="0"/>
          <w:marRight w:val="0"/>
          <w:marTop w:val="0"/>
          <w:marBottom w:val="0"/>
          <w:divBdr>
            <w:top w:val="none" w:sz="0" w:space="0" w:color="auto"/>
            <w:left w:val="none" w:sz="0" w:space="0" w:color="auto"/>
            <w:bottom w:val="none" w:sz="0" w:space="0" w:color="auto"/>
            <w:right w:val="none" w:sz="0" w:space="0" w:color="auto"/>
          </w:divBdr>
        </w:div>
        <w:div w:id="80092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3863E5EB0C68D4C9A36BEAE9F459DAB" ma:contentTypeVersion="16" ma:contentTypeDescription="Een nieuw document maken." ma:contentTypeScope="" ma:versionID="f56fa12960f70da167c42a0074dee2d1">
  <xsd:schema xmlns:xsd="http://www.w3.org/2001/XMLSchema" xmlns:xs="http://www.w3.org/2001/XMLSchema" xmlns:p="http://schemas.microsoft.com/office/2006/metadata/properties" xmlns:ns2="87037488-ec5d-4aba-84c2-9b1d22638e8e" xmlns:ns3="4ac7af08-f810-450f-ae87-8de8d1c2e93f" xmlns:ns4="38dce602-d06e-4610-b6b1-d0f0f43b49f7" targetNamespace="http://schemas.microsoft.com/office/2006/metadata/properties" ma:root="true" ma:fieldsID="57c80e238d0ae562672ce60ac02a3c54" ns2:_="" ns3:_="" ns4:_="">
    <xsd:import namespace="87037488-ec5d-4aba-84c2-9b1d22638e8e"/>
    <xsd:import namespace="4ac7af08-f810-450f-ae87-8de8d1c2e93f"/>
    <xsd:import namespace="38dce602-d06e-4610-b6b1-d0f0f43b49f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24c746-5ec1-4b1f-bf43-3735474cd012}" ma:internalName="TaxCatchAll" ma:showField="CatchAllData" ma:web="38dce602-d06e-4610-b6b1-d0f0f43b49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24c746-5ec1-4b1f-bf43-3735474cd012}" ma:internalName="TaxCatchAllLabel" ma:readOnly="true" ma:showField="CatchAllDataLabel" ma:web="38dce602-d06e-4610-b6b1-d0f0f43b49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7af08-f810-450f-ae87-8de8d1c2e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ce602-d06e-4610-b6b1-d0f0f43b49f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lcf76f155ced4ddcb4097134ff3c332f xmlns="4ac7af08-f810-450f-ae87-8de8d1c2e93f">
      <Terms xmlns="http://schemas.microsoft.com/office/infopath/2007/PartnerControls"/>
    </lcf76f155ced4ddcb4097134ff3c332f>
    <TaxCatchAll xmlns="87037488-ec5d-4aba-84c2-9b1d22638e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32CFA-0F41-4578-B808-FBE539F58701}">
  <ds:schemaRefs>
    <ds:schemaRef ds:uri="Microsoft.SharePoint.Taxonomy.ContentTypeSync"/>
  </ds:schemaRefs>
</ds:datastoreItem>
</file>

<file path=customXml/itemProps2.xml><?xml version="1.0" encoding="utf-8"?>
<ds:datastoreItem xmlns:ds="http://schemas.openxmlformats.org/officeDocument/2006/customXml" ds:itemID="{D7D75406-04CC-4153-829B-7EA518D17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4ac7af08-f810-450f-ae87-8de8d1c2e93f"/>
    <ds:schemaRef ds:uri="38dce602-d06e-4610-b6b1-d0f0f43b4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39D2-F5D2-4B1F-8B04-1BF09559826E}">
  <ds:schemaRefs>
    <ds:schemaRef ds:uri="http://schemas.microsoft.com/office/2006/metadata/properties"/>
    <ds:schemaRef ds:uri="http://schemas.microsoft.com/office/infopath/2007/PartnerControls"/>
    <ds:schemaRef ds:uri="87037488-ec5d-4aba-84c2-9b1d22638e8e"/>
    <ds:schemaRef ds:uri="4ac7af08-f810-450f-ae87-8de8d1c2e93f"/>
  </ds:schemaRefs>
</ds:datastoreItem>
</file>

<file path=customXml/itemProps4.xml><?xml version="1.0" encoding="utf-8"?>
<ds:datastoreItem xmlns:ds="http://schemas.openxmlformats.org/officeDocument/2006/customXml" ds:itemID="{F90D5026-3698-47BA-90B6-DB23FFBD1393}">
  <ds:schemaRefs>
    <ds:schemaRef ds:uri="http://schemas.microsoft.com/sharepoint/v3/contenttype/forms"/>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Smetz</dc:creator>
  <cp:keywords/>
  <dc:description/>
  <cp:lastModifiedBy>Daphne Loonen</cp:lastModifiedBy>
  <cp:revision>6</cp:revision>
  <dcterms:created xsi:type="dcterms:W3CDTF">2024-06-04T11:53:00Z</dcterms:created>
  <dcterms:modified xsi:type="dcterms:W3CDTF">2024-06-10T13:11:00Z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0x010100E3863E5EB0C68D4C9A36BEAE9F459DAB</vt:lpwstr>
  </property>
  <property fmtid="{D5CDD505-2E9C-101B-9397-08002B2CF9AE}" pid="3" name="MediaServiceImageTags">
    <vt:lpwstr/>
  </property>
  <property fmtid="{D5CDD505-2E9C-101B-9397-08002B2CF9AE}" pid="4" name="Security Classification">
    <vt:lpwstr/>
  </property>
</Properties>
</file>